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480" w:lineRule="exact"/>
        <w:rPr>
          <w:rFonts w:ascii="黑体" w:hAnsi="黑体" w:eastAsia="黑体" w:cs="宋体"/>
          <w:color w:val="000000"/>
          <w:kern w:val="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0"/>
          <w:szCs w:val="30"/>
          <w:shd w:val="clear" w:color="auto" w:fill="FFFFFF"/>
        </w:rPr>
        <w:t>附件3：</w:t>
      </w:r>
    </w:p>
    <w:tbl>
      <w:tblPr>
        <w:tblStyle w:val="3"/>
        <w:tblW w:w="730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715"/>
        <w:gridCol w:w="15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3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after="312" w:afterLines="100" w:line="4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  <w:shd w:val="clear" w:color="auto" w:fill="FFFFFF"/>
              </w:rPr>
              <w:t>担任创新创业类必修课主讲教师、精品课程的负责人情况表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法学院 知识产权学院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穆远征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法学院 知识产权学院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法学院 知识产权学院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隆瑾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法学院 知识产权学院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谭达宗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高青松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戴湘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易锐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伍喆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李明扬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商学院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田小文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外国语学院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刘溟辉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艺术学院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数学与计算科学学院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许筱婷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物理与光电工程学院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李旭军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材料科学与工程学院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龚跃球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化工学院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刘宇谦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朱科军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宋铁军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21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周成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22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姚志强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23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胡洪波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24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陈洋卓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25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吴亚联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26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信息工程学院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肖业伟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27</w:t>
            </w:r>
          </w:p>
        </w:tc>
        <w:tc>
          <w:tcPr>
            <w:tcW w:w="4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兴湘学院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贺伟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40361"/>
    <w:rsid w:val="10F40361"/>
    <w:rsid w:val="6D535020"/>
    <w:rsid w:val="6F4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XIAOXIA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2018-09-19T05:17:00Z</dcterms:created>
  <dc:creator>CHENXIAOXIAO</dc:creator>
  <cp:lastModifiedBy>^ 小不正经ing 。</cp:lastModifiedBy>
  <dcterms:modified xsi:type="dcterms:W3CDTF">2018-09-19T05:22:31Z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