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A8" w:rsidRPr="00331CA8" w:rsidRDefault="00331CA8" w:rsidP="00331CA8">
      <w:pPr>
        <w:widowControl/>
        <w:jc w:val="left"/>
        <w:rPr>
          <w:rFonts w:asciiTheme="majorEastAsia" w:eastAsiaTheme="majorEastAsia" w:hAnsiTheme="majorEastAsia" w:cs="宋体"/>
          <w:kern w:val="0"/>
          <w:szCs w:val="21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2783"/>
        <w:gridCol w:w="1203"/>
        <w:gridCol w:w="3797"/>
        <w:gridCol w:w="714"/>
        <w:gridCol w:w="420"/>
      </w:tblGrid>
      <w:tr w:rsidR="00331CA8" w:rsidRPr="00331CA8" w:rsidTr="00331CA8">
        <w:trPr>
          <w:trHeight w:val="34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Cs w:val="21"/>
              </w:rPr>
              <w:t>竞赛项目名称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Cs w:val="21"/>
              </w:rPr>
              <w:t>竞赛组织单位</w:t>
            </w:r>
          </w:p>
        </w:tc>
        <w:tc>
          <w:tcPr>
            <w:tcW w:w="61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Cs w:val="21"/>
              </w:rPr>
              <w:t>认定级别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互联网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+” 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大学生创新创业大赛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教育部主办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"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挑战杯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"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课外学术科技作品竞赛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团中央、中国科协、教育部、全国学联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全国大学生工程训练综合能力竞赛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工程训练中心</w:t>
            </w:r>
            <w:bookmarkStart w:id="0" w:name="_GoBack"/>
            <w:bookmarkEnd w:id="0"/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教育部高等教育司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36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教育部高等教育司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全国大学生数学建模竞赛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数学与计算科学学院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教育部高等教育司 中国工业与应用数学学会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外</w:t>
            </w:r>
            <w:proofErr w:type="gramStart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社杯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全国英语演讲比赛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外语教学与研究出版社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全国大学生机械创新设计大赛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教育部高教司倡办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全国大学生电子设计竞赛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hyperlink r:id="rId5" w:history="1">
              <w:r w:rsidRPr="00331CA8">
                <w:rPr>
                  <w:rFonts w:asciiTheme="majorEastAsia" w:eastAsiaTheme="majorEastAsia" w:hAnsiTheme="majorEastAsia" w:cs="Arial"/>
                  <w:color w:val="0000FF"/>
                  <w:kern w:val="0"/>
                  <w:szCs w:val="21"/>
                  <w:u w:val="single"/>
                </w:rPr>
                <w:t>教育部和工业和信息化部共同发起</w:t>
              </w:r>
            </w:hyperlink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09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全国大学生广告艺术大赛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文学与新闻学院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教育部高等教育司指导，中国高等教育学会、教育部高等学校新闻传播学类专业教学指导委员会共同主办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全国大学生结构设计竞赛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高等学校土木工程学科专业指导委员会、中国土木工程学会教育委员会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国际大学生程序设计竞赛（ACM/ICPC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美国计算机协会 (ACM)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国际级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72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全国周培源大学生力学竞赛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教育部高等教育司委托，教育部高等学校力学教学指导委员会力学基础课程教学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指导分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委员会、中国力学学会和周培源基金会共同主办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全国大学生化工设计竞赛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教育部高等学校化工类专业教学指导委员会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49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全国大学生电子商务“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创新、创意及创业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挑战赛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教育部高等学校电子商务专业教学指导委员会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全国大学生数学竞赛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数学与计算科学学院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中国数学会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中国大学生物理学术竞赛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教育部支持、中国大学生物理学术竞赛组委会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全国大学生金相技能大赛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教育部高等学校材料类专业教学指导委员会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中国高等院校设计艺术大赛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中国高等教育学会设计教育专业委员会、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lastRenderedPageBreak/>
              <w:t>教育部高等学校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设计学类专业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教学指导委员会和化学工业出版社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lastRenderedPageBreak/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湖南省大学生旅游类专业综合技能竞赛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旅游管理学院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湖南省大学生化学化工实验与创新竞赛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51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湖南省大学生省模拟法庭竞赛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A</w:t>
            </w:r>
          </w:p>
        </w:tc>
      </w:tr>
      <w:tr w:rsidR="00331CA8" w:rsidRPr="00331CA8" w:rsidTr="00331CA8">
        <w:trPr>
          <w:trHeight w:val="51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美国大学生数学建模竞赛（MCM/ICM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数学与计算科学学院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美国数学及其应用联合会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全国大学生英语竞赛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高等学校大学外语教学指导委员会和高等学校大学外语教学研究会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全国计算机仿真大赛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中国自动化学会、中国计算机用户协会、教育部高教司、北京航天自动控制研究所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恩智浦杯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全国大学生智能车竞赛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教育部高等学校自动化专业教学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指导分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全国大学生信息安全大赛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教育部高等学校信息安全专业教学指导委员会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全国大学生工业设计大赛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教育部高等学校工业设计专业教学指导委员会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全国高等学校大学生测绘技能竞赛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教育部高等学校测绘学科教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学指导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委员会、国家测绘地理信息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局职业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鉴定指导中心、中国测绘学会测绘教育委员会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全国虚拟仪器设计大赛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中国仪器仪表学会、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br/>
              <w:t>教育部高等学校仪器科学与技术教学指导委员会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33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中国学生原创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动漫作品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教育部高等学校动画、数字媒体专业教学指导委员会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全国高校数字艺术作品大赛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工业和信息化部、教育部指导，工业和信息化部人才交流中心主办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72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中国大学生计算机设计大赛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教育部高等学校计算机类专业教学指导委员会、软件工程专业教学指导委员会、大学计算机课程教学指导委员会、文科计算机基础教学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指导分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委员会、中国教育电视台联合主办的全国性大赛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外</w:t>
            </w:r>
            <w:proofErr w:type="gramStart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社杯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全国英语辩论赛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团中央学校部、全国学联秘书处、北京外国语大学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湖南省大学物理竞赛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湖南省大学生写作竞赛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文学与新闻学院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湖南省大学生企业模拟经营竞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lastRenderedPageBreak/>
              <w:t>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lastRenderedPageBreak/>
              <w:t>商学院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lastRenderedPageBreak/>
              <w:t>37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湖南省大学生计算机程序设计竞赛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31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湖南省大学生日语演讲比赛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全国大学生过程装备实践与创新大赛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中国机械工程学会、教育部高等学校机械学科过程装备与控制工程专业分会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中国大学生材料热处理创新创业大赛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教育部高等学校材料类教学指导委员会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B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蓝桥杯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全国软件和信息技术专业人才大赛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工业和信息化部人才交流中心、教育部全国高等学校学生信息咨询与就业指导中心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全国大学生智能建筑工程实践技能竞赛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全国高等学校建筑电气与智能化学科专业指导小组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中国大学生软件服务外包大赛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教育部高等学校计算机类专业教学指导委员会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全国信息技术应用水平大赛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教育部信息管理中心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云计算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应用创新大赛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教育部科技发展中心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全国高校物联网应用创新大赛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教育部科技发展中心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全国大学生嵌入式物联网设计大赛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中国电子学会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中国机器人大赛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中国自动化学会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华为杯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中国大学生智能设计竞赛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中国人工智能学会、教育部高等学校计算机类专业教学指导委员会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全国大学生焊接创新大赛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中国机械工业教育协会材料成形与控制工程专业教学指导委员会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中国大学生铸造工艺设计大赛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中国机械工程学会铸造分会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 IF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概念设计大赛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汉诺威工业设计论坛(</w:t>
            </w:r>
            <w:proofErr w:type="spell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iF</w:t>
            </w:r>
            <w:proofErr w:type="spell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Industrie</w:t>
            </w:r>
            <w:proofErr w:type="spell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 xml:space="preserve"> Forum Design)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全国三维数字化创新设计大赛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国家制造业信息化培训中心、国家两化融合创新推进联盟、全国3D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技术推广服务与教育培训联盟（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3D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动力）、 光华设计发展基金会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中国制冷空调行业大学生科技竞赛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教育部能源动力类专业教学指导委员会和中国制冷空调工业协会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人工环境工程学科奖学金竞赛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全国高等学校建筑环境与设备工程专业委员会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lastRenderedPageBreak/>
              <w:t>56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全国“MDV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中央空调设计应用大赛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中国建筑学会暖通空调分会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全国高等院校学生建筑信息模型(BIM)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应用技能大赛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土木工程与力学学院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中国建设教育协会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全国高校大学生金相大赛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中国体视学会金相与显微分析分会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全国大学生制药工程设计竞赛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教育部高等药学类专业教学指导委员会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全国大学生网络商务创新应用大赛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中国互联网协会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全国数字艺术设计大赛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工信部中国电子视像行业协会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中国包装创意设计大奖赛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中国包装联合会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49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北外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-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万慧达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杯知识产权英语模拟法庭竞赛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最高人民法院知识产权庭、北京外国语大学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红十字“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国际人道法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模拟法庭竞赛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红十字国际委员会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全国大学生模拟法庭大赛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高等学校国家级教学实验教学示范中心法学组联席会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中译杯全国口译大赛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中国翻译协会、中国对外翻译出版有限公司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韩素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音青年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翻译大赛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中国翻译协会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全国高校法语演讲比赛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教育部高校外语专业教学指导委员会法语分委会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全国高校德语专业大学生辩论赛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教育部高等学校外语专业教学指导委员会德语分委员会、歌德学院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外</w:t>
            </w:r>
            <w:proofErr w:type="gramStart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社杯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全国英语写作大赛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外语教学与研究出版社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“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外</w:t>
            </w:r>
            <w:proofErr w:type="gramStart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社杯</w:t>
            </w: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”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全国英语阅读大赛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外语教学与研究出版社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中央电视台西班牙语大赛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中央电视台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国际空间法模拟法庭竞赛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国际空间法学会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全国高等学校采矿工程专业学生实践作品大赛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教育部高等学校地矿学科教学指导委员会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倡导主办</w:t>
            </w:r>
            <w:proofErr w:type="gram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全国高校数学挑战赛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数学与计算科学学院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教育部高等学校大学数学课程教学指导委员会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中国大学生程序设计竞赛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中国大学生程序设计竞赛协会主办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全国大学生智能互联创新大赛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教育部高等学校电子信息类专业教学指导委员会、中国电子学会主办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红点奖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 xml:space="preserve">Design </w:t>
            </w:r>
            <w:proofErr w:type="spell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Zentrum</w:t>
            </w:r>
            <w:proofErr w:type="spell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Nordrhein</w:t>
            </w:r>
            <w:proofErr w:type="spell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Westfalen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  <w:tr w:rsidR="00331CA8" w:rsidRPr="00331CA8" w:rsidTr="00331CA8">
        <w:trPr>
          <w:trHeight w:val="285"/>
        </w:trPr>
        <w:tc>
          <w:tcPr>
            <w:tcW w:w="5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国际艺术设计大赛（</w:t>
            </w:r>
            <w:proofErr w:type="gramStart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互艺奖</w:t>
            </w:r>
            <w:proofErr w:type="gramEnd"/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lastRenderedPageBreak/>
              <w:t>IADA</w:t>
            </w:r>
            <w:r w:rsidRPr="00331CA8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lastRenderedPageBreak/>
              <w:t>艺术学院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国际艺术设计协会（IADA)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CA8" w:rsidRPr="00331CA8" w:rsidRDefault="00331CA8" w:rsidP="00331C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331CA8">
              <w:rPr>
                <w:rFonts w:asciiTheme="majorEastAsia" w:eastAsiaTheme="majorEastAsia" w:hAnsiTheme="majorEastAsia" w:cs="Arial"/>
                <w:b/>
                <w:bCs/>
                <w:color w:val="000000"/>
                <w:kern w:val="0"/>
                <w:szCs w:val="21"/>
              </w:rPr>
              <w:t>C</w:t>
            </w:r>
          </w:p>
        </w:tc>
      </w:tr>
    </w:tbl>
    <w:p w:rsidR="00331CA8" w:rsidRPr="00331CA8" w:rsidRDefault="00331CA8" w:rsidP="00331CA8">
      <w:pPr>
        <w:widowControl/>
        <w:spacing w:before="75" w:after="75"/>
        <w:jc w:val="left"/>
        <w:rPr>
          <w:rFonts w:asciiTheme="majorEastAsia" w:eastAsiaTheme="majorEastAsia" w:hAnsiTheme="majorEastAsia" w:cs="Arial"/>
          <w:color w:val="000000"/>
          <w:kern w:val="0"/>
          <w:szCs w:val="21"/>
        </w:rPr>
      </w:pPr>
      <w:r w:rsidRPr="00331CA8">
        <w:rPr>
          <w:rFonts w:asciiTheme="majorEastAsia" w:eastAsiaTheme="majorEastAsia" w:hAnsiTheme="majorEastAsia" w:cs="Arial"/>
          <w:color w:val="000000"/>
          <w:kern w:val="0"/>
          <w:szCs w:val="21"/>
        </w:rPr>
        <w:lastRenderedPageBreak/>
        <w:t>注：上述赛事的省级选拔赛获奖自动认定为相应类别省级奖励。</w:t>
      </w:r>
    </w:p>
    <w:p w:rsidR="00600DAF" w:rsidRPr="00331CA8" w:rsidRDefault="00331CA8">
      <w:pPr>
        <w:rPr>
          <w:rFonts w:asciiTheme="majorEastAsia" w:eastAsiaTheme="majorEastAsia" w:hAnsiTheme="majorEastAsia"/>
          <w:szCs w:val="21"/>
        </w:rPr>
      </w:pPr>
    </w:p>
    <w:sectPr w:rsidR="00600DAF" w:rsidRPr="0033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1"/>
    <w:rsid w:val="00331CA8"/>
    <w:rsid w:val="00AA3F41"/>
    <w:rsid w:val="00C82C13"/>
    <w:rsid w:val="00E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1CA8"/>
    <w:rPr>
      <w:b/>
      <w:bCs/>
    </w:rPr>
  </w:style>
  <w:style w:type="character" w:styleId="a5">
    <w:name w:val="Hyperlink"/>
    <w:basedOn w:val="a0"/>
    <w:uiPriority w:val="99"/>
    <w:semiHidden/>
    <w:unhideWhenUsed/>
    <w:rsid w:val="00331C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1CA8"/>
    <w:rPr>
      <w:b/>
      <w:bCs/>
    </w:rPr>
  </w:style>
  <w:style w:type="character" w:styleId="a5">
    <w:name w:val="Hyperlink"/>
    <w:basedOn w:val="a0"/>
    <w:uiPriority w:val="99"/>
    <w:semiHidden/>
    <w:unhideWhenUsed/>
    <w:rsid w:val="00331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922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2018-05-25T09:43:00Z</dcterms:created>
  <dcterms:modified xsi:type="dcterms:W3CDTF">2018-05-25T09:43:00Z</dcterms:modified>
</cp:coreProperties>
</file>