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D59" w:rsidRPr="00992D59" w:rsidRDefault="00992D59" w:rsidP="00992D59">
      <w:pPr>
        <w:widowControl/>
        <w:spacing w:before="75" w:after="75"/>
        <w:jc w:val="center"/>
        <w:rPr>
          <w:rFonts w:ascii="Arial" w:eastAsia="宋体" w:hAnsi="Arial" w:cs="Arial"/>
          <w:color w:val="000000"/>
          <w:kern w:val="0"/>
          <w:sz w:val="30"/>
          <w:szCs w:val="30"/>
        </w:rPr>
      </w:pPr>
      <w:bookmarkStart w:id="0" w:name="_GoBack"/>
      <w:r w:rsidRPr="00992D59">
        <w:rPr>
          <w:rFonts w:ascii="Arial" w:eastAsia="宋体" w:hAnsi="Arial" w:cs="Arial"/>
          <w:color w:val="000000"/>
          <w:kern w:val="0"/>
          <w:sz w:val="30"/>
          <w:szCs w:val="30"/>
        </w:rPr>
        <w:t>“</w:t>
      </w:r>
      <w:r w:rsidRPr="00992D59">
        <w:rPr>
          <w:rFonts w:ascii="Arial" w:eastAsia="宋体" w:hAnsi="Arial" w:cs="Arial"/>
          <w:color w:val="000000"/>
          <w:kern w:val="0"/>
          <w:sz w:val="30"/>
          <w:szCs w:val="30"/>
        </w:rPr>
        <w:t>建行杯</w:t>
      </w:r>
      <w:r w:rsidRPr="00992D59">
        <w:rPr>
          <w:rFonts w:ascii="Arial" w:eastAsia="宋体" w:hAnsi="Arial" w:cs="Arial"/>
          <w:color w:val="000000"/>
          <w:kern w:val="0"/>
          <w:sz w:val="30"/>
          <w:szCs w:val="30"/>
        </w:rPr>
        <w:t>”</w:t>
      </w:r>
      <w:r w:rsidRPr="00992D59">
        <w:rPr>
          <w:rFonts w:ascii="Arial" w:eastAsia="宋体" w:hAnsi="Arial" w:cs="Arial"/>
          <w:color w:val="000000"/>
          <w:kern w:val="0"/>
          <w:sz w:val="30"/>
          <w:szCs w:val="30"/>
        </w:rPr>
        <w:t>第四届湖南省</w:t>
      </w:r>
      <w:r w:rsidRPr="00992D59">
        <w:rPr>
          <w:rFonts w:ascii="Arial" w:eastAsia="宋体" w:hAnsi="Arial" w:cs="Arial"/>
          <w:color w:val="000000"/>
          <w:kern w:val="0"/>
          <w:sz w:val="30"/>
          <w:szCs w:val="30"/>
        </w:rPr>
        <w:t>“</w:t>
      </w:r>
      <w:r w:rsidRPr="00992D59">
        <w:rPr>
          <w:rFonts w:ascii="Arial" w:eastAsia="宋体" w:hAnsi="Arial" w:cs="Arial"/>
          <w:color w:val="000000"/>
          <w:kern w:val="0"/>
          <w:sz w:val="30"/>
          <w:szCs w:val="30"/>
        </w:rPr>
        <w:t>互联网</w:t>
      </w:r>
      <w:r w:rsidRPr="00992D59">
        <w:rPr>
          <w:rFonts w:ascii="Arial" w:eastAsia="宋体" w:hAnsi="Arial" w:cs="Arial"/>
          <w:color w:val="000000"/>
          <w:kern w:val="0"/>
          <w:sz w:val="30"/>
          <w:szCs w:val="30"/>
        </w:rPr>
        <w:t>+”</w:t>
      </w:r>
    </w:p>
    <w:p w:rsidR="00992D59" w:rsidRPr="00992D59" w:rsidRDefault="00992D59" w:rsidP="00992D59">
      <w:pPr>
        <w:widowControl/>
        <w:spacing w:before="75" w:after="75"/>
        <w:jc w:val="center"/>
        <w:rPr>
          <w:rFonts w:ascii="Arial" w:eastAsia="宋体" w:hAnsi="Arial" w:cs="Arial"/>
          <w:color w:val="000000"/>
          <w:kern w:val="0"/>
          <w:sz w:val="30"/>
          <w:szCs w:val="30"/>
        </w:rPr>
      </w:pPr>
      <w:r w:rsidRPr="00992D59">
        <w:rPr>
          <w:rFonts w:ascii="Arial" w:eastAsia="宋体" w:hAnsi="Arial" w:cs="Arial"/>
          <w:color w:val="000000"/>
          <w:kern w:val="0"/>
          <w:sz w:val="30"/>
          <w:szCs w:val="30"/>
        </w:rPr>
        <w:t>大学生创新创业大赛暨全国大赛选拔赛</w:t>
      </w:r>
    </w:p>
    <w:p w:rsidR="00992D59" w:rsidRPr="00992D59" w:rsidRDefault="00992D59" w:rsidP="00992D59">
      <w:pPr>
        <w:widowControl/>
        <w:spacing w:before="75" w:after="75"/>
        <w:jc w:val="center"/>
        <w:rPr>
          <w:rFonts w:ascii="Arial" w:eastAsia="宋体" w:hAnsi="Arial" w:cs="Arial"/>
          <w:color w:val="000000"/>
          <w:kern w:val="0"/>
          <w:sz w:val="30"/>
          <w:szCs w:val="30"/>
        </w:rPr>
      </w:pPr>
      <w:r w:rsidRPr="00992D59">
        <w:rPr>
          <w:rFonts w:ascii="Arial" w:eastAsia="宋体" w:hAnsi="Arial" w:cs="Arial"/>
          <w:color w:val="000000"/>
          <w:kern w:val="0"/>
          <w:sz w:val="30"/>
          <w:szCs w:val="30"/>
        </w:rPr>
        <w:t>优秀组织奖、优秀创新创业导师评选原则</w:t>
      </w:r>
    </w:p>
    <w:p w:rsidR="00992D59" w:rsidRPr="00992D59" w:rsidRDefault="00992D59" w:rsidP="00992D59">
      <w:pPr>
        <w:widowControl/>
        <w:spacing w:before="75" w:after="75"/>
        <w:jc w:val="center"/>
        <w:rPr>
          <w:rFonts w:ascii="Arial" w:eastAsia="宋体" w:hAnsi="Arial" w:cs="Arial"/>
          <w:color w:val="000000"/>
          <w:kern w:val="0"/>
          <w:sz w:val="30"/>
          <w:szCs w:val="30"/>
        </w:rPr>
      </w:pPr>
      <w:r w:rsidRPr="00992D59">
        <w:rPr>
          <w:rFonts w:ascii="Arial" w:eastAsia="宋体" w:hAnsi="Arial" w:cs="Arial"/>
          <w:color w:val="000000"/>
          <w:kern w:val="0"/>
          <w:sz w:val="30"/>
          <w:szCs w:val="30"/>
        </w:rPr>
        <w:t>（主赛道）</w:t>
      </w:r>
    </w:p>
    <w:p w:rsidR="00992D59" w:rsidRPr="00992D59" w:rsidRDefault="00992D59" w:rsidP="00992D59">
      <w:pPr>
        <w:widowControl/>
        <w:spacing w:before="75" w:after="75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92D59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</w:p>
    <w:p w:rsidR="00992D59" w:rsidRPr="00992D59" w:rsidRDefault="00992D59" w:rsidP="00992D59">
      <w:pPr>
        <w:widowControl/>
        <w:spacing w:before="75" w:after="75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92D59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一、优秀组织奖（优秀组织</w:t>
      </w:r>
      <w:proofErr w:type="gramStart"/>
      <w:r w:rsidRPr="00992D59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奖采用</w:t>
      </w:r>
      <w:proofErr w:type="gramEnd"/>
      <w:r w:rsidRPr="00992D59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各项分值相加，计算最后结果排名评出。）</w:t>
      </w:r>
    </w:p>
    <w:tbl>
      <w:tblPr>
        <w:tblW w:w="90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3"/>
        <w:gridCol w:w="7023"/>
        <w:gridCol w:w="839"/>
      </w:tblGrid>
      <w:tr w:rsidR="00992D59" w:rsidRPr="00992D59" w:rsidTr="00992D59">
        <w:trPr>
          <w:trHeight w:val="390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2D59" w:rsidRPr="00992D59" w:rsidRDefault="00992D59" w:rsidP="00992D59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992D59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类　别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2D59" w:rsidRPr="00992D59" w:rsidRDefault="00992D59" w:rsidP="00992D59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992D59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评　分　细　则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2D59" w:rsidRPr="00992D59" w:rsidRDefault="00992D59" w:rsidP="00992D59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992D59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分值</w:t>
            </w:r>
          </w:p>
        </w:tc>
      </w:tr>
      <w:tr w:rsidR="00992D59" w:rsidRPr="00992D59" w:rsidTr="00992D59">
        <w:trPr>
          <w:trHeight w:val="1050"/>
        </w:trPr>
        <w:tc>
          <w:tcPr>
            <w:tcW w:w="1155" w:type="dxa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2D59" w:rsidRPr="00992D59" w:rsidRDefault="00992D59" w:rsidP="00992D59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992D5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重视程度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2D59" w:rsidRPr="00992D59" w:rsidRDefault="00992D59" w:rsidP="00992D59">
            <w:pPr>
              <w:widowControl/>
              <w:spacing w:line="360" w:lineRule="atLeast"/>
              <w:jc w:val="left"/>
              <w:textAlignment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992D5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成立由学校主要领导牵头负责</w:t>
            </w:r>
            <w:proofErr w:type="gramStart"/>
            <w:r w:rsidRPr="00992D5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的校赛组织</w:t>
            </w:r>
            <w:proofErr w:type="gramEnd"/>
            <w:r w:rsidRPr="00992D5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工作委员会及相关组织机构，并及时</w:t>
            </w:r>
            <w:proofErr w:type="gramStart"/>
            <w:r w:rsidRPr="00992D5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将校赛</w:t>
            </w:r>
            <w:proofErr w:type="gramEnd"/>
            <w:r w:rsidRPr="00992D5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组委会名单、牵头工作部门及联系人信息、专家推荐表、校级竞赛实施方案报送至大赛组委会秘书处。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2D59" w:rsidRPr="00992D59" w:rsidRDefault="00992D59" w:rsidP="00992D59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992D5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</w:t>
            </w:r>
            <w:r w:rsidRPr="00992D5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</w:tr>
      <w:tr w:rsidR="00992D59" w:rsidRPr="00992D59" w:rsidTr="00992D59">
        <w:trPr>
          <w:trHeight w:val="39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2D59" w:rsidRPr="00992D59" w:rsidRDefault="00992D59" w:rsidP="00992D5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2D59" w:rsidRPr="00992D59" w:rsidRDefault="00992D59" w:rsidP="00992D59">
            <w:pPr>
              <w:widowControl/>
              <w:spacing w:line="360" w:lineRule="atLeast"/>
              <w:jc w:val="left"/>
              <w:textAlignment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992D5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学校设立专项经费确保竞赛需要（须提供相关佐证材料）。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2D59" w:rsidRPr="00992D59" w:rsidRDefault="00992D59" w:rsidP="00992D59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992D5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</w:t>
            </w:r>
            <w:r w:rsidRPr="00992D5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</w:tr>
      <w:tr w:rsidR="00992D59" w:rsidRPr="00992D59" w:rsidTr="00992D59">
        <w:trPr>
          <w:trHeight w:val="7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2D59" w:rsidRPr="00992D59" w:rsidRDefault="00992D59" w:rsidP="00992D5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2D59" w:rsidRPr="00992D59" w:rsidRDefault="00992D59" w:rsidP="00992D59">
            <w:pPr>
              <w:widowControl/>
              <w:spacing w:line="360" w:lineRule="atLeast"/>
              <w:jc w:val="left"/>
              <w:textAlignment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992D5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符合竞赛宗旨，结合实际，制定本校竞赛规章、制度、奖励措施、配套政策等规范性文件，建立长效竞赛工作机制。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2D59" w:rsidRPr="00992D59" w:rsidRDefault="00992D59" w:rsidP="00992D59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992D5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</w:t>
            </w:r>
            <w:r w:rsidRPr="00992D5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</w:tr>
      <w:tr w:rsidR="00992D59" w:rsidRPr="00992D59" w:rsidTr="00992D59">
        <w:trPr>
          <w:trHeight w:val="705"/>
        </w:trPr>
        <w:tc>
          <w:tcPr>
            <w:tcW w:w="1155" w:type="dxa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2D59" w:rsidRPr="00992D59" w:rsidRDefault="00992D59" w:rsidP="00992D59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992D5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推进情况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2D59" w:rsidRPr="00992D59" w:rsidRDefault="00992D59" w:rsidP="00992D59">
            <w:pPr>
              <w:widowControl/>
              <w:spacing w:line="360" w:lineRule="atLeast"/>
              <w:jc w:val="left"/>
              <w:textAlignment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992D5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正式举办与全省竞赛接轨的校级初赛（须按要求将本校大赛组织文件、工作总结、相关照片、视频等资料报送至大赛秘书处）。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2D59" w:rsidRPr="00992D59" w:rsidRDefault="00992D59" w:rsidP="00992D59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992D5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</w:t>
            </w:r>
            <w:r w:rsidRPr="00992D5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</w:tr>
      <w:tr w:rsidR="00992D59" w:rsidRPr="00992D59" w:rsidTr="00992D59">
        <w:trPr>
          <w:trHeight w:val="72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2D59" w:rsidRPr="00992D59" w:rsidRDefault="00992D59" w:rsidP="00992D5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2D59" w:rsidRPr="00992D59" w:rsidRDefault="00992D59" w:rsidP="00992D59">
            <w:pPr>
              <w:widowControl/>
              <w:spacing w:line="360" w:lineRule="atLeast"/>
              <w:jc w:val="left"/>
              <w:textAlignment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992D5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按要求及时报名参赛。报名参赛人数</w:t>
            </w:r>
            <w:r w:rsidRPr="00992D5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÷</w:t>
            </w:r>
            <w:r w:rsidRPr="00992D5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在校生人数少于</w:t>
            </w:r>
            <w:r w:rsidRPr="00992D5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2%</w:t>
            </w:r>
            <w:r w:rsidRPr="00992D5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不得分，等于</w:t>
            </w:r>
            <w:r w:rsidRPr="00992D5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2%</w:t>
            </w:r>
            <w:r w:rsidRPr="00992D5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得</w:t>
            </w:r>
            <w:r w:rsidRPr="00992D5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12</w:t>
            </w:r>
            <w:r w:rsidRPr="00992D5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分。每增加一个百分点增加一分，总分不超过</w:t>
            </w:r>
            <w:r w:rsidRPr="00992D5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</w:t>
            </w:r>
            <w:r w:rsidRPr="00992D5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分。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2D59" w:rsidRPr="00992D59" w:rsidRDefault="00992D59" w:rsidP="00992D59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992D5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</w:t>
            </w:r>
            <w:r w:rsidRPr="00992D5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</w:tr>
      <w:tr w:rsidR="00992D59" w:rsidRPr="00992D59" w:rsidTr="00992D59">
        <w:trPr>
          <w:trHeight w:val="7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2D59" w:rsidRPr="00992D59" w:rsidRDefault="00992D59" w:rsidP="00992D5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2D59" w:rsidRPr="00992D59" w:rsidRDefault="00992D59" w:rsidP="00992D59">
            <w:pPr>
              <w:widowControl/>
              <w:spacing w:line="360" w:lineRule="atLeast"/>
              <w:jc w:val="left"/>
              <w:textAlignment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992D5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作品质量和数量。进入省赛的作品，获得一等奖每件加</w:t>
            </w:r>
            <w:r w:rsidRPr="00992D5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</w:t>
            </w:r>
            <w:r w:rsidRPr="00992D5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分，二等奖每件加</w:t>
            </w:r>
            <w:r w:rsidRPr="00992D5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</w:t>
            </w:r>
            <w:r w:rsidRPr="00992D5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分，三等奖每件加</w:t>
            </w:r>
            <w:r w:rsidRPr="00992D5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</w:t>
            </w:r>
            <w:r w:rsidRPr="00992D5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分，总分不超过</w:t>
            </w:r>
            <w:r w:rsidRPr="00992D5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</w:t>
            </w:r>
            <w:r w:rsidRPr="00992D5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分。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2D59" w:rsidRPr="00992D59" w:rsidRDefault="00992D59" w:rsidP="00992D59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992D5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</w:t>
            </w:r>
            <w:r w:rsidRPr="00992D5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</w:tr>
      <w:tr w:rsidR="00992D59" w:rsidRPr="00992D59" w:rsidTr="00992D59">
        <w:trPr>
          <w:trHeight w:val="1080"/>
        </w:trPr>
        <w:tc>
          <w:tcPr>
            <w:tcW w:w="115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2D59" w:rsidRPr="00992D59" w:rsidRDefault="00992D59" w:rsidP="00992D59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992D5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赛事相关</w:t>
            </w:r>
          </w:p>
          <w:p w:rsidR="00992D59" w:rsidRPr="00992D59" w:rsidRDefault="00992D59" w:rsidP="00992D59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992D5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活　　</w:t>
            </w:r>
            <w:proofErr w:type="gramEnd"/>
            <w:r w:rsidRPr="00992D5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动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2D59" w:rsidRPr="00992D59" w:rsidRDefault="00992D59" w:rsidP="00992D59">
            <w:pPr>
              <w:widowControl/>
              <w:spacing w:line="360" w:lineRule="atLeast"/>
              <w:jc w:val="left"/>
              <w:textAlignment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992D5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积极选派项目参加国家和省级大赛相关活动（</w:t>
            </w:r>
            <w:r w:rsidRPr="00992D5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</w:t>
            </w:r>
            <w:r w:rsidRPr="00992D5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分），派相关工作人员出席大赛相关工作会议或推进会（</w:t>
            </w:r>
            <w:r w:rsidRPr="00992D5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</w:t>
            </w:r>
            <w:r w:rsidRPr="00992D5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分）、师资培训（</w:t>
            </w:r>
            <w:r w:rsidRPr="00992D5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</w:t>
            </w:r>
            <w:r w:rsidRPr="00992D5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分）、颁奖典礼总结交流会等活动（</w:t>
            </w:r>
            <w:r w:rsidRPr="00992D5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</w:t>
            </w:r>
            <w:r w:rsidRPr="00992D5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分），及时报送</w:t>
            </w:r>
            <w:proofErr w:type="gramStart"/>
            <w:r w:rsidRPr="00992D5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本校省赛成果</w:t>
            </w:r>
            <w:proofErr w:type="gramEnd"/>
            <w:r w:rsidRPr="00992D5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展展板（</w:t>
            </w:r>
            <w:r w:rsidRPr="00992D5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</w:t>
            </w:r>
            <w:r w:rsidRPr="00992D5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分）。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2D59" w:rsidRPr="00992D59" w:rsidRDefault="00992D59" w:rsidP="00992D59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992D5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</w:t>
            </w:r>
            <w:r w:rsidRPr="00992D5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</w:tr>
      <w:tr w:rsidR="00992D59" w:rsidRPr="00992D59" w:rsidTr="00992D59">
        <w:trPr>
          <w:trHeight w:val="1095"/>
        </w:trPr>
        <w:tc>
          <w:tcPr>
            <w:tcW w:w="115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2D59" w:rsidRPr="00992D59" w:rsidRDefault="00992D59" w:rsidP="00992D59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992D5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新闻宣传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2D59" w:rsidRPr="00992D59" w:rsidRDefault="00992D59" w:rsidP="00992D59">
            <w:pPr>
              <w:widowControl/>
              <w:spacing w:line="360" w:lineRule="atLeast"/>
              <w:jc w:val="left"/>
              <w:textAlignment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992D5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在新闻媒体、学校网站、湖南省毕业生就业网上有相关赛事的宣传新闻（</w:t>
            </w:r>
            <w:r w:rsidRPr="00992D5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</w:t>
            </w:r>
            <w:r w:rsidRPr="00992D5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分，须按要求将新闻网页截图报送至大赛组委会）。在国家级媒体宣传报道竞赛活动（</w:t>
            </w:r>
            <w:r w:rsidRPr="00992D5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</w:t>
            </w:r>
            <w:r w:rsidRPr="00992D5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分）。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2D59" w:rsidRPr="00992D59" w:rsidRDefault="00992D59" w:rsidP="00992D59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992D5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</w:t>
            </w:r>
            <w:r w:rsidRPr="00992D5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</w:tr>
      <w:tr w:rsidR="00992D59" w:rsidRPr="00992D59" w:rsidTr="00992D59">
        <w:trPr>
          <w:trHeight w:val="750"/>
        </w:trPr>
        <w:tc>
          <w:tcPr>
            <w:tcW w:w="115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2D59" w:rsidRPr="00992D59" w:rsidRDefault="00992D59" w:rsidP="00992D59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992D5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其他需加分的情况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2D59" w:rsidRPr="00992D59" w:rsidRDefault="00992D59" w:rsidP="00992D59">
            <w:pPr>
              <w:widowControl/>
              <w:spacing w:line="360" w:lineRule="atLeast"/>
              <w:jc w:val="left"/>
              <w:textAlignment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992D5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报名参加</w:t>
            </w:r>
            <w:proofErr w:type="gramStart"/>
            <w:r w:rsidRPr="00992D5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初创组项目每</w:t>
            </w:r>
            <w:proofErr w:type="gramEnd"/>
            <w:r w:rsidRPr="00992D5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</w:t>
            </w:r>
            <w:r w:rsidRPr="00992D5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个加</w:t>
            </w:r>
            <w:r w:rsidRPr="00992D5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</w:t>
            </w:r>
            <w:r w:rsidRPr="00992D5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分，</w:t>
            </w:r>
            <w:proofErr w:type="gramStart"/>
            <w:r w:rsidRPr="00992D5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成长组项目每</w:t>
            </w:r>
            <w:proofErr w:type="gramEnd"/>
            <w:r w:rsidRPr="00992D5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</w:t>
            </w:r>
            <w:r w:rsidRPr="00992D5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个加</w:t>
            </w:r>
            <w:r w:rsidRPr="00992D5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</w:t>
            </w:r>
            <w:r w:rsidRPr="00992D5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分，总分不超过</w:t>
            </w:r>
            <w:r w:rsidRPr="00992D5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</w:t>
            </w:r>
            <w:r w:rsidRPr="00992D5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分。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2D59" w:rsidRPr="00992D59" w:rsidRDefault="00992D59" w:rsidP="00992D59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992D5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</w:t>
            </w:r>
            <w:r w:rsidRPr="00992D5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</w:tr>
    </w:tbl>
    <w:p w:rsidR="00992D59" w:rsidRPr="00992D59" w:rsidRDefault="00992D59" w:rsidP="00992D59">
      <w:pPr>
        <w:widowControl/>
        <w:spacing w:before="75" w:after="75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92D59">
        <w:rPr>
          <w:rFonts w:ascii="Arial" w:eastAsia="宋体" w:hAnsi="Arial" w:cs="Arial"/>
          <w:color w:val="000000"/>
          <w:kern w:val="0"/>
          <w:sz w:val="24"/>
          <w:szCs w:val="24"/>
        </w:rPr>
        <w:t>注：所有资料报送须在大赛工作要求规定的时间节点前报送。</w:t>
      </w:r>
    </w:p>
    <w:p w:rsidR="00992D59" w:rsidRPr="00992D59" w:rsidRDefault="00992D59" w:rsidP="00992D59">
      <w:pPr>
        <w:widowControl/>
        <w:spacing w:before="75" w:after="75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92D59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</w:p>
    <w:p w:rsidR="00992D59" w:rsidRPr="00992D59" w:rsidRDefault="00992D59" w:rsidP="00992D59">
      <w:pPr>
        <w:widowControl/>
        <w:spacing w:before="75" w:after="75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92D59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二、优秀创新创业导师评选条件</w:t>
      </w:r>
    </w:p>
    <w:p w:rsidR="00992D59" w:rsidRPr="00992D59" w:rsidRDefault="00992D59" w:rsidP="00992D59">
      <w:pPr>
        <w:widowControl/>
        <w:spacing w:before="75" w:after="75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92D59">
        <w:rPr>
          <w:rFonts w:ascii="Arial" w:eastAsia="宋体" w:hAnsi="Arial" w:cs="Arial"/>
          <w:color w:val="000000"/>
          <w:kern w:val="0"/>
          <w:sz w:val="24"/>
          <w:szCs w:val="24"/>
        </w:rPr>
        <w:t>1</w:t>
      </w:r>
      <w:r w:rsidRPr="00992D59">
        <w:rPr>
          <w:rFonts w:ascii="Arial" w:eastAsia="宋体" w:hAnsi="Arial" w:cs="Arial"/>
          <w:color w:val="000000"/>
          <w:kern w:val="0"/>
          <w:sz w:val="24"/>
          <w:szCs w:val="24"/>
        </w:rPr>
        <w:t>．实际指导学生创业团队项目，承担主要指导职责且为项目的第一指导教师；</w:t>
      </w:r>
    </w:p>
    <w:p w:rsidR="00992D59" w:rsidRPr="00992D59" w:rsidRDefault="00992D59" w:rsidP="00992D59">
      <w:pPr>
        <w:widowControl/>
        <w:spacing w:before="75" w:after="75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92D59">
        <w:rPr>
          <w:rFonts w:ascii="Arial" w:eastAsia="宋体" w:hAnsi="Arial" w:cs="Arial"/>
          <w:color w:val="000000"/>
          <w:kern w:val="0"/>
          <w:sz w:val="24"/>
          <w:szCs w:val="24"/>
        </w:rPr>
        <w:lastRenderedPageBreak/>
        <w:t>2</w:t>
      </w:r>
      <w:r w:rsidRPr="00992D59">
        <w:rPr>
          <w:rFonts w:ascii="Arial" w:eastAsia="宋体" w:hAnsi="Arial" w:cs="Arial"/>
          <w:color w:val="000000"/>
          <w:kern w:val="0"/>
          <w:sz w:val="24"/>
          <w:szCs w:val="24"/>
        </w:rPr>
        <w:t>．指导学生创业团队项目获得第四届湖南省</w:t>
      </w:r>
      <w:r w:rsidRPr="00992D59">
        <w:rPr>
          <w:rFonts w:ascii="Arial" w:eastAsia="宋体" w:hAnsi="Arial" w:cs="Arial"/>
          <w:color w:val="000000"/>
          <w:kern w:val="0"/>
          <w:sz w:val="24"/>
          <w:szCs w:val="24"/>
        </w:rPr>
        <w:t>“</w:t>
      </w:r>
      <w:r w:rsidRPr="00992D59">
        <w:rPr>
          <w:rFonts w:ascii="Arial" w:eastAsia="宋体" w:hAnsi="Arial" w:cs="Arial"/>
          <w:color w:val="000000"/>
          <w:kern w:val="0"/>
          <w:sz w:val="24"/>
          <w:szCs w:val="24"/>
        </w:rPr>
        <w:t>互联网</w:t>
      </w:r>
      <w:r w:rsidRPr="00992D59">
        <w:rPr>
          <w:rFonts w:ascii="Arial" w:eastAsia="宋体" w:hAnsi="Arial" w:cs="Arial"/>
          <w:color w:val="000000"/>
          <w:kern w:val="0"/>
          <w:sz w:val="24"/>
          <w:szCs w:val="24"/>
        </w:rPr>
        <w:t>+”</w:t>
      </w:r>
      <w:r w:rsidRPr="00992D59">
        <w:rPr>
          <w:rFonts w:ascii="Arial" w:eastAsia="宋体" w:hAnsi="Arial" w:cs="Arial"/>
          <w:color w:val="000000"/>
          <w:kern w:val="0"/>
          <w:sz w:val="24"/>
          <w:szCs w:val="24"/>
        </w:rPr>
        <w:t>大学生创新创业大赛一等奖；</w:t>
      </w:r>
    </w:p>
    <w:p w:rsidR="00992D59" w:rsidRPr="00992D59" w:rsidRDefault="00992D59" w:rsidP="00992D59">
      <w:pPr>
        <w:widowControl/>
        <w:spacing w:before="75" w:after="75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92D59">
        <w:rPr>
          <w:rFonts w:ascii="Arial" w:eastAsia="宋体" w:hAnsi="Arial" w:cs="Arial"/>
          <w:color w:val="000000"/>
          <w:kern w:val="0"/>
          <w:sz w:val="24"/>
          <w:szCs w:val="24"/>
        </w:rPr>
        <w:t>3</w:t>
      </w:r>
      <w:r w:rsidRPr="00992D59">
        <w:rPr>
          <w:rFonts w:ascii="Arial" w:eastAsia="宋体" w:hAnsi="Arial" w:cs="Arial"/>
          <w:color w:val="000000"/>
          <w:kern w:val="0"/>
          <w:sz w:val="24"/>
          <w:szCs w:val="24"/>
        </w:rPr>
        <w:t>．热爱教书育人工作，师德高尚，无品行学术不端行为，经公示无异议。</w:t>
      </w:r>
    </w:p>
    <w:p w:rsidR="00992D59" w:rsidRPr="00992D59" w:rsidRDefault="00992D59" w:rsidP="00992D59">
      <w:pPr>
        <w:widowControl/>
        <w:spacing w:before="75" w:after="75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92D59">
        <w:rPr>
          <w:rFonts w:ascii="Arial" w:eastAsia="宋体" w:hAnsi="Arial" w:cs="Arial"/>
          <w:color w:val="000000"/>
          <w:kern w:val="0"/>
          <w:sz w:val="24"/>
          <w:szCs w:val="24"/>
        </w:rPr>
        <w:t>注：同</w:t>
      </w:r>
      <w:proofErr w:type="gramStart"/>
      <w:r w:rsidRPr="00992D59">
        <w:rPr>
          <w:rFonts w:ascii="Arial" w:eastAsia="宋体" w:hAnsi="Arial" w:cs="Arial"/>
          <w:color w:val="000000"/>
          <w:kern w:val="0"/>
          <w:sz w:val="24"/>
          <w:szCs w:val="24"/>
        </w:rPr>
        <w:t>一教师</w:t>
      </w:r>
      <w:proofErr w:type="gramEnd"/>
      <w:r w:rsidRPr="00992D59">
        <w:rPr>
          <w:rFonts w:ascii="Arial" w:eastAsia="宋体" w:hAnsi="Arial" w:cs="Arial"/>
          <w:color w:val="000000"/>
          <w:kern w:val="0"/>
          <w:sz w:val="24"/>
          <w:szCs w:val="24"/>
        </w:rPr>
        <w:t>指导两个或两个以上项目获得一等奖，不再重复奖励。</w:t>
      </w:r>
    </w:p>
    <w:bookmarkEnd w:id="0"/>
    <w:p w:rsidR="00600DAF" w:rsidRPr="00992D59" w:rsidRDefault="00992D59" w:rsidP="00992D59"/>
    <w:sectPr w:rsidR="00600DAF" w:rsidRPr="00992D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FFD"/>
    <w:rsid w:val="008D1FFD"/>
    <w:rsid w:val="00992D59"/>
    <w:rsid w:val="00C82C13"/>
    <w:rsid w:val="00E5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2D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92D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2D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92D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8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</cp:lastModifiedBy>
  <cp:revision>3</cp:revision>
  <dcterms:created xsi:type="dcterms:W3CDTF">2018-05-25T09:09:00Z</dcterms:created>
  <dcterms:modified xsi:type="dcterms:W3CDTF">2018-05-25T09:09:00Z</dcterms:modified>
</cp:coreProperties>
</file>